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R4-2118921</w:t>
      </w:r>
      <w:bookmarkStart w:id="20" w:name="_GoBack"/>
      <w:bookmarkEnd w:id="20"/>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RRM measurement relaxations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8.20.3.3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RAN4 100-e, there were discussions on the RRM relaxations due to reduced capability UEs. However, since many companies suggested to wait for clear RAN1 conclusion, in the WF [1] no formal agreement has been captured to this aspect.</w:t>
      </w:r>
    </w:p>
    <w:p>
      <w:pPr>
        <w:rPr>
          <w:rFonts w:hint="default" w:eastAsia="宋体"/>
          <w:sz w:val="22"/>
          <w:szCs w:val="22"/>
          <w:lang w:val="en-US" w:eastAsia="zh-CN"/>
        </w:rPr>
      </w:pPr>
      <w:r>
        <w:rPr>
          <w:rFonts w:hint="eastAsia" w:eastAsia="宋体"/>
          <w:sz w:val="22"/>
          <w:szCs w:val="22"/>
          <w:lang w:val="en-US" w:eastAsia="zh-CN"/>
        </w:rPr>
        <w:t>In this meeting, RAN4 receives a LS from RAN2 on RRM relaxation [2] and some of the content is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overflowPunct/>
              <w:autoSpaceDE/>
              <w:autoSpaceDN/>
              <w:adjustRightInd/>
              <w:textAlignment w:val="auto"/>
              <w:rPr>
                <w:rFonts w:ascii="Arial" w:hAnsi="Arial" w:cs="Arial" w:eastAsiaTheme="minorEastAsia"/>
                <w:b/>
              </w:rPr>
            </w:pPr>
            <w:r>
              <w:rPr>
                <w:rFonts w:ascii="Arial" w:hAnsi="Arial" w:cs="Arial"/>
                <w:b/>
              </w:rPr>
              <w:t>Agreements in RAN2#113bis-e:</w:t>
            </w:r>
          </w:p>
          <w:p>
            <w:pPr>
              <w:pStyle w:val="66"/>
              <w:numPr>
                <w:ilvl w:val="0"/>
                <w:numId w:val="6"/>
              </w:numPr>
              <w:textAlignment w:val="auto"/>
              <w:rPr>
                <w:rFonts w:ascii="Arial" w:hAnsi="Arial" w:eastAsia="宋体" w:cs="Arial"/>
                <w:bCs/>
                <w:lang w:val="en-US"/>
              </w:rPr>
            </w:pPr>
            <w:r>
              <w:rPr>
                <w:rFonts w:ascii="Arial" w:hAnsi="Arial" w:eastAsia="宋体" w:cs="Arial"/>
                <w:bCs/>
                <w:lang w:val="en-US"/>
              </w:rPr>
              <w:t>At least for RRC idle/inactive, a measurement-based R17 stationarity criterion can be configured separately from R16 low-mobility criterion for R17 UEs supporting the feature.</w:t>
            </w:r>
          </w:p>
          <w:p>
            <w:pPr>
              <w:pStyle w:val="66"/>
              <w:numPr>
                <w:ilvl w:val="0"/>
                <w:numId w:val="6"/>
              </w:numPr>
              <w:textAlignment w:val="auto"/>
              <w:rPr>
                <w:rFonts w:ascii="Arial" w:hAnsi="Arial" w:eastAsia="宋体" w:cs="Arial"/>
                <w:bCs/>
                <w:lang w:val="en-US"/>
              </w:rPr>
            </w:pPr>
            <w:r>
              <w:rPr>
                <w:rFonts w:ascii="Arial" w:hAnsi="Arial" w:eastAsia="宋体" w:cs="Arial"/>
                <w:bCs/>
                <w:lang w:val="en-US"/>
              </w:rPr>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p>
            <w:pPr>
              <w:overflowPunct/>
              <w:autoSpaceDE/>
              <w:autoSpaceDN/>
              <w:adjustRightInd/>
              <w:textAlignment w:val="auto"/>
              <w:rPr>
                <w:rFonts w:ascii="Arial" w:hAnsi="Arial" w:eastAsia="Batang" w:cs="Arial"/>
                <w:szCs w:val="24"/>
                <w:highlight w:val="darkYellow"/>
                <w:lang w:eastAsia="en-US"/>
              </w:rPr>
            </w:pPr>
            <w:r>
              <w:rPr>
                <w:rFonts w:ascii="Arial" w:hAnsi="Arial" w:cs="Arial"/>
                <w:b/>
              </w:rPr>
              <w:t>Agreements in RAN2#114-e:</w:t>
            </w:r>
          </w:p>
          <w:p>
            <w:pPr>
              <w:numPr>
                <w:ilvl w:val="0"/>
                <w:numId w:val="6"/>
              </w:numPr>
              <w:spacing w:after="120"/>
              <w:jc w:val="both"/>
              <w:rPr>
                <w:rFonts w:ascii="Arial" w:hAnsi="Arial" w:cs="Arial"/>
                <w:bCs/>
              </w:rPr>
            </w:pPr>
            <w:r>
              <w:rPr>
                <w:rFonts w:ascii="Arial" w:hAnsi="Arial" w:cs="Arial"/>
                <w:bCs/>
              </w:rPr>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p>
            <w:pPr>
              <w:numPr>
                <w:ilvl w:val="0"/>
                <w:numId w:val="6"/>
              </w:numPr>
              <w:spacing w:after="120"/>
              <w:jc w:val="both"/>
              <w:rPr>
                <w:rFonts w:ascii="Arial" w:hAnsi="Arial" w:cs="Arial"/>
                <w:bCs/>
              </w:rPr>
            </w:pPr>
            <w:r>
              <w:rPr>
                <w:rFonts w:ascii="Arial" w:hAnsi="Arial" w:cs="Arial"/>
                <w:bCs/>
              </w:rPr>
              <w:t>Subscription based relaxation criteria will not be considered in Rel-17 RRM relaxation.</w:t>
            </w:r>
          </w:p>
          <w:p>
            <w:pPr>
              <w:pStyle w:val="66"/>
              <w:numPr>
                <w:ilvl w:val="0"/>
                <w:numId w:val="6"/>
              </w:numPr>
              <w:textAlignment w:val="auto"/>
              <w:rPr>
                <w:rFonts w:ascii="Arial" w:hAnsi="Arial" w:eastAsia="宋体" w:cs="Arial"/>
                <w:bCs/>
                <w:lang w:val="en-US"/>
              </w:rPr>
            </w:pPr>
            <w:r>
              <w:rPr>
                <w:rFonts w:ascii="Arial" w:hAnsi="Arial" w:eastAsia="宋体" w:cs="Arial"/>
                <w:bCs/>
                <w:lang w:val="en-US"/>
              </w:rPr>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p>
            <w:pPr>
              <w:pStyle w:val="66"/>
              <w:numPr>
                <w:ilvl w:val="0"/>
                <w:numId w:val="6"/>
              </w:numPr>
              <w:spacing w:after="0"/>
              <w:textAlignment w:val="auto"/>
              <w:rPr>
                <w:rFonts w:ascii="Arial" w:hAnsi="Arial" w:eastAsia="宋体" w:cs="Arial"/>
                <w:bCs/>
                <w:lang w:val="en-US"/>
              </w:rPr>
            </w:pPr>
            <w:r>
              <w:rPr>
                <w:rFonts w:ascii="Arial" w:hAnsi="Arial" w:eastAsia="宋体" w:cs="Arial"/>
                <w:bCs/>
                <w:lang w:val="en-US"/>
              </w:rPr>
              <w:t>Postpone the following discussion until RAN4 defines RRM relaxation method for Rel-17:</w:t>
            </w:r>
          </w:p>
          <w:p>
            <w:pPr>
              <w:pStyle w:val="66"/>
              <w:spacing w:after="0"/>
              <w:ind w:left="360" w:firstLine="400" w:firstLineChars="200"/>
              <w:textAlignment w:val="auto"/>
              <w:rPr>
                <w:rFonts w:ascii="Arial" w:hAnsi="Arial" w:eastAsia="宋体" w:cs="Arial"/>
                <w:bCs/>
                <w:lang w:val="en-US"/>
              </w:rPr>
            </w:pPr>
            <w:r>
              <w:rPr>
                <w:rFonts w:ascii="Arial" w:hAnsi="Arial" w:eastAsia="宋体" w:cs="Arial"/>
                <w:bCs/>
                <w:lang w:val="en-US"/>
              </w:rPr>
              <w:t>When NW configures both R16/R17 relaxation criteria and the UE fulfills both, UE performs:</w:t>
            </w:r>
          </w:p>
          <w:p>
            <w:pPr>
              <w:pStyle w:val="66"/>
              <w:spacing w:after="0"/>
              <w:ind w:left="720" w:firstLine="0"/>
              <w:textAlignment w:val="auto"/>
              <w:rPr>
                <w:rFonts w:ascii="Arial" w:hAnsi="Arial" w:eastAsia="宋体" w:cs="Arial"/>
                <w:bCs/>
                <w:lang w:val="en-US"/>
              </w:rPr>
            </w:pPr>
            <w:r>
              <w:rPr>
                <w:rFonts w:ascii="Arial" w:hAnsi="Arial" w:eastAsia="宋体" w:cs="Arial"/>
                <w:bCs/>
                <w:lang w:val="en-US"/>
              </w:rPr>
              <w:t>- Option 1) UE performs Rel-17 RRM relaxation method</w:t>
            </w:r>
          </w:p>
          <w:p>
            <w:pPr>
              <w:pStyle w:val="66"/>
              <w:ind w:left="720" w:firstLine="0"/>
              <w:textAlignment w:val="auto"/>
              <w:rPr>
                <w:rFonts w:ascii="Arial" w:hAnsi="Arial" w:eastAsia="宋体" w:cs="Arial"/>
                <w:bCs/>
                <w:lang w:val="en-US"/>
              </w:rPr>
            </w:pPr>
            <w:r>
              <w:rPr>
                <w:rFonts w:ascii="Arial" w:hAnsi="Arial" w:eastAsia="宋体" w:cs="Arial"/>
                <w:bCs/>
                <w:lang w:val="en-US"/>
              </w:rPr>
              <w:t>- Option 2) It is up to UE implementation to select either Rel-16 or Rel-17 relaxation operation</w:t>
            </w:r>
          </w:p>
          <w:p>
            <w:pPr>
              <w:pStyle w:val="66"/>
              <w:numPr>
                <w:ilvl w:val="0"/>
                <w:numId w:val="6"/>
              </w:numPr>
              <w:textAlignment w:val="auto"/>
              <w:rPr>
                <w:rFonts w:ascii="Arial" w:hAnsi="Arial" w:eastAsia="宋体" w:cs="Arial"/>
                <w:bCs/>
                <w:lang w:val="en-US"/>
              </w:rPr>
            </w:pPr>
            <w:r>
              <w:rPr>
                <w:rFonts w:ascii="Arial" w:hAnsi="Arial" w:eastAsia="宋体" w:cs="Arial"/>
                <w:bCs/>
                <w:lang w:val="en-US"/>
              </w:rPr>
              <w:t xml:space="preserve">When NW configures Rel-17 RRM relaxation for RRC_IDLE/INACTIVE, Rel-17 stationary criterion is mandatory, and Rel-17 not-at-cell-edge criterion is optional configuration. </w:t>
            </w:r>
          </w:p>
          <w:p>
            <w:pPr>
              <w:overflowPunct/>
              <w:autoSpaceDE/>
              <w:autoSpaceDN/>
              <w:adjustRightInd/>
              <w:textAlignment w:val="auto"/>
              <w:rPr>
                <w:rFonts w:ascii="Arial" w:hAnsi="Arial" w:cs="Arial" w:eastAsiaTheme="minorEastAsia"/>
                <w:b/>
              </w:rPr>
            </w:pPr>
            <w:r>
              <w:rPr>
                <w:rFonts w:ascii="Arial" w:hAnsi="Arial" w:cs="Arial"/>
                <w:b/>
              </w:rPr>
              <w:t>Agreements in RAN2#115-e:</w:t>
            </w:r>
          </w:p>
          <w:p>
            <w:pPr>
              <w:pStyle w:val="66"/>
              <w:numPr>
                <w:ilvl w:val="0"/>
                <w:numId w:val="6"/>
              </w:numPr>
              <w:textAlignment w:val="auto"/>
              <w:rPr>
                <w:rFonts w:ascii="Arial" w:hAnsi="Arial" w:eastAsia="宋体" w:cs="Arial"/>
                <w:bCs/>
                <w:lang w:val="en-US"/>
              </w:rPr>
            </w:pPr>
            <w:r>
              <w:rPr>
                <w:rFonts w:ascii="Arial" w:hAnsi="Arial" w:eastAsia="宋体" w:cs="Arial"/>
                <w:bCs/>
                <w:lang w:val="en-US"/>
              </w:rPr>
              <w:t>Do not introduce nor reuse not-at-cell-edge threshold for R17 RRC_CONNECTED UEs.</w:t>
            </w:r>
          </w:p>
          <w:p>
            <w:pPr>
              <w:pStyle w:val="66"/>
              <w:numPr>
                <w:ilvl w:val="0"/>
                <w:numId w:val="6"/>
              </w:numPr>
              <w:textAlignment w:val="auto"/>
              <w:rPr>
                <w:rFonts w:ascii="Arial" w:hAnsi="Arial" w:eastAsia="宋体" w:cs="Arial"/>
                <w:bCs/>
                <w:lang w:val="en-US"/>
              </w:rPr>
            </w:pPr>
            <w:r>
              <w:rPr>
                <w:rFonts w:ascii="Arial" w:hAnsi="Arial" w:eastAsia="宋体" w:cs="Arial"/>
                <w:bCs/>
                <w:lang w:val="en-US"/>
              </w:rPr>
              <w:t>Do not introduce beam change based criterion in Rel-17.</w:t>
            </w:r>
          </w:p>
          <w:p>
            <w:pPr>
              <w:pStyle w:val="66"/>
              <w:numPr>
                <w:ilvl w:val="0"/>
                <w:numId w:val="6"/>
              </w:numPr>
              <w:textAlignment w:val="auto"/>
              <w:rPr>
                <w:rFonts w:hint="eastAsia"/>
                <w:b w:val="0"/>
                <w:bCs/>
                <w:sz w:val="22"/>
                <w:szCs w:val="22"/>
                <w:vertAlign w:val="baseline"/>
                <w:lang w:val="en-US" w:eastAsia="zh-CN"/>
              </w:rPr>
            </w:pPr>
            <w:r>
              <w:rPr>
                <w:rFonts w:ascii="Arial" w:hAnsi="Arial" w:eastAsia="宋体" w:cs="Arial"/>
                <w:bCs/>
                <w:lang w:val="en-US"/>
              </w:rPr>
              <w:t>The network provides the configuration of stationarity criterion to the UE via dedicated signalling (e.g. RRCReconfiguration message) in RRC_CONNECTED.</w:t>
            </w:r>
          </w:p>
          <w:p>
            <w:pPr>
              <w:pStyle w:val="66"/>
              <w:numPr>
                <w:ilvl w:val="0"/>
                <w:numId w:val="6"/>
              </w:numPr>
              <w:textAlignment w:val="auto"/>
              <w:rPr>
                <w:rFonts w:hint="eastAsia"/>
                <w:b w:val="0"/>
                <w:bCs/>
                <w:sz w:val="22"/>
                <w:szCs w:val="22"/>
                <w:vertAlign w:val="baseline"/>
                <w:lang w:val="en-US" w:eastAsia="zh-CN"/>
              </w:rPr>
            </w:pPr>
            <w:r>
              <w:rPr>
                <w:rFonts w:ascii="Arial" w:hAnsi="Arial" w:eastAsia="宋体" w:cs="Arial"/>
                <w:bCs/>
                <w:lang w:val="en-US"/>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pPr>
              <w:pStyle w:val="66"/>
              <w:numPr>
                <w:ilvl w:val="0"/>
                <w:numId w:val="0"/>
              </w:numPr>
              <w:textAlignment w:val="auto"/>
              <w:rPr>
                <w:rFonts w:ascii="Arial" w:hAnsi="Arial" w:eastAsia="宋体" w:cs="Arial"/>
                <w:bCs/>
                <w:lang w:val="en-US"/>
              </w:rPr>
            </w:pPr>
          </w:p>
          <w:p>
            <w:pPr>
              <w:spacing w:after="160" w:line="252" w:lineRule="auto"/>
              <w:jc w:val="both"/>
              <w:rPr>
                <w:rFonts w:ascii="Arial" w:hAnsi="Arial" w:eastAsia="Calibri" w:cs="Arial"/>
                <w:lang w:val="sv-SE"/>
              </w:rPr>
            </w:pPr>
            <w:r>
              <w:rPr>
                <w:rFonts w:ascii="Arial" w:hAnsi="Arial" w:eastAsia="Calibri" w:cs="Arial"/>
                <w:lang w:val="sv-SE"/>
              </w:rPr>
              <w:t>RAN2 respectfully asks RAN4 to take the above agreements into account.</w:t>
            </w:r>
          </w:p>
          <w:p>
            <w:pPr>
              <w:spacing w:after="160" w:line="252" w:lineRule="auto"/>
              <w:jc w:val="both"/>
              <w:rPr>
                <w:rFonts w:ascii="Arial" w:hAnsi="Arial" w:eastAsia="Calibri" w:cs="Arial"/>
                <w:lang w:val="sv-SE"/>
              </w:rPr>
            </w:pPr>
            <w:r>
              <w:rPr>
                <w:rFonts w:ascii="Arial" w:hAnsi="Arial" w:eastAsia="Calibri" w:cs="Arial"/>
                <w:lang w:val="sv-SE"/>
              </w:rPr>
              <w:t>For RRC_IDLE/INACTIVE, RAN4 is asked to study and define the corresponding Rel-17 RRM relaxation method.</w:t>
            </w:r>
          </w:p>
          <w:p>
            <w:pPr>
              <w:pStyle w:val="66"/>
              <w:numPr>
                <w:ilvl w:val="0"/>
                <w:numId w:val="0"/>
              </w:numPr>
              <w:textAlignment w:val="auto"/>
              <w:rPr>
                <w:rFonts w:hint="eastAsia" w:ascii="Arial" w:hAnsi="Arial" w:eastAsia="宋体" w:cs="Arial"/>
                <w:bCs/>
                <w:lang w:val="en-US" w:eastAsia="zh-CN"/>
              </w:rPr>
            </w:pPr>
            <w:r>
              <w:rPr>
                <w:rFonts w:ascii="Arial" w:hAnsi="Arial" w:eastAsia="Calibri" w:cs="Arial"/>
                <w:lang w:val="sv-SE"/>
              </w:rPr>
              <w:t>For RRC_CONNECTED, RAN2 will continue discussing the details.</w:t>
            </w:r>
          </w:p>
        </w:tc>
      </w:tr>
    </w:tbl>
    <w:p>
      <w:pPr>
        <w:pStyle w:val="36"/>
        <w:numPr>
          <w:ilvl w:val="0"/>
          <w:numId w:val="0"/>
        </w:numPr>
        <w:ind w:leftChars="0"/>
        <w:rPr>
          <w:rFonts w:hint="eastAsia"/>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The RAN2 LS [2] carries a lot of information, and from it we can make some observations:</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rPr>
          <w:rFonts w:hint="default"/>
          <w:b w:val="0"/>
          <w:bCs/>
          <w:sz w:val="22"/>
          <w:szCs w:val="22"/>
          <w:lang w:val="en-US" w:eastAsia="zh-CN"/>
        </w:rPr>
      </w:pPr>
      <w:r>
        <w:rPr>
          <w:rFonts w:hint="eastAsia"/>
          <w:b w:val="0"/>
          <w:bCs/>
          <w:sz w:val="22"/>
          <w:szCs w:val="22"/>
          <w:lang w:val="en-US" w:eastAsia="zh-CN"/>
        </w:rPr>
        <w:t>R16 low mobility criterion is defined in TS 38.304 [5] as copied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6"/>
            </w:pPr>
            <w:bookmarkStart w:id="4" w:name="_Toc534930843"/>
            <w:bookmarkStart w:id="5" w:name="_Toc37298565"/>
            <w:bookmarkStart w:id="6" w:name="_Toc46502327"/>
            <w:r>
              <w:t>5.2.4.9.1</w:t>
            </w:r>
            <w:r>
              <w:tab/>
            </w:r>
            <w:r>
              <w:t>Relaxed measurement criterion</w:t>
            </w:r>
            <w:bookmarkEnd w:id="4"/>
            <w:r>
              <w:t xml:space="preserve"> for UE with low mobility</w:t>
            </w:r>
            <w:bookmarkEnd w:id="5"/>
            <w:bookmarkEnd w:id="6"/>
          </w:p>
          <w:p>
            <w:bookmarkStart w:id="7" w:name="OLE_LINK12"/>
            <w:bookmarkStart w:id="8" w:name="OLE_LINK11"/>
            <w:r>
              <w:t>The relaxed measurement criterion for UE with low mobility is fulfilled when:</w:t>
            </w:r>
          </w:p>
          <w:p>
            <w:pPr>
              <w:pStyle w:val="66"/>
            </w:pPr>
            <w:r>
              <w:t>-</w:t>
            </w:r>
            <w:r>
              <w:tab/>
            </w:r>
            <w:r>
              <w:t>(Srxlev</w:t>
            </w:r>
            <w:r>
              <w:rPr>
                <w:vertAlign w:val="subscript"/>
              </w:rPr>
              <w:t>Ref</w:t>
            </w:r>
            <w:r>
              <w:t xml:space="preserve"> – Srxlev) &lt; S</w:t>
            </w:r>
            <w:r>
              <w:rPr>
                <w:vertAlign w:val="subscript"/>
              </w:rPr>
              <w:t>SearchDeltaP</w:t>
            </w:r>
            <w:r>
              <w:t>,</w:t>
            </w:r>
          </w:p>
          <w:bookmarkEnd w:id="7"/>
          <w:bookmarkEnd w:id="8"/>
          <w:p>
            <w:r>
              <w:t>Where:</w:t>
            </w:r>
          </w:p>
          <w:p>
            <w:pPr>
              <w:pStyle w:val="66"/>
            </w:pPr>
            <w:r>
              <w:t>-</w:t>
            </w:r>
            <w:r>
              <w:tab/>
            </w:r>
            <w:r>
              <w:t>Srxlev = current Srxlev value of the serving cell (dB).</w:t>
            </w:r>
          </w:p>
          <w:p>
            <w:pPr>
              <w:pStyle w:val="66"/>
            </w:pPr>
            <w:r>
              <w:t>-</w:t>
            </w:r>
            <w:r>
              <w:tab/>
            </w:r>
            <w:r>
              <w:t>Srxlev</w:t>
            </w:r>
            <w:r>
              <w:rPr>
                <w:vertAlign w:val="subscript"/>
              </w:rPr>
              <w:t>Ref</w:t>
            </w:r>
            <w:r>
              <w:t xml:space="preserve"> = reference Srxlev value of the serving cell (dB), set as follows:</w:t>
            </w:r>
          </w:p>
          <w:p>
            <w:pPr>
              <w:pStyle w:val="50"/>
            </w:pPr>
            <w:r>
              <w:t>-</w:t>
            </w:r>
            <w:r>
              <w:tab/>
            </w:r>
            <w:r>
              <w:t>After selecting or reselecting a new cell, or</w:t>
            </w:r>
          </w:p>
          <w:p>
            <w:pPr>
              <w:pStyle w:val="50"/>
            </w:pPr>
            <w:r>
              <w:t>-</w:t>
            </w:r>
            <w:r>
              <w:tab/>
            </w:r>
            <w:r>
              <w:t>If (Srxlev - Srxlev</w:t>
            </w:r>
            <w:r>
              <w:rPr>
                <w:vertAlign w:val="subscript"/>
              </w:rPr>
              <w:t>Ref</w:t>
            </w:r>
            <w:r>
              <w:t>) &gt; 0, or</w:t>
            </w:r>
          </w:p>
          <w:p>
            <w:pPr>
              <w:pStyle w:val="50"/>
            </w:pPr>
            <w:r>
              <w:t>-</w:t>
            </w:r>
            <w:r>
              <w:tab/>
            </w:r>
            <w:r>
              <w:t>If the relaxed monitoring criterion has not been met for T</w:t>
            </w:r>
            <w:r>
              <w:rPr>
                <w:vertAlign w:val="subscript"/>
              </w:rPr>
              <w:t>SearchDeltaP</w:t>
            </w:r>
            <w:r>
              <w:t>:</w:t>
            </w:r>
          </w:p>
          <w:p>
            <w:pPr>
              <w:pStyle w:val="68"/>
              <w:rPr>
                <w:rFonts w:hint="default"/>
                <w:b w:val="0"/>
                <w:bCs/>
                <w:sz w:val="22"/>
                <w:szCs w:val="22"/>
                <w:vertAlign w:val="baseline"/>
                <w:lang w:val="en-US" w:eastAsia="zh-CN"/>
              </w:rPr>
            </w:pPr>
            <w:r>
              <w:t>-</w:t>
            </w:r>
            <w:r>
              <w:tab/>
            </w:r>
            <w:r>
              <w:t>The UE shall set the value of Srxlev</w:t>
            </w:r>
            <w:r>
              <w:rPr>
                <w:vertAlign w:val="subscript"/>
              </w:rPr>
              <w:t>Ref</w:t>
            </w:r>
            <w:r>
              <w:t xml:space="preserve"> to the current Srxlev value of the serving cell.</w:t>
            </w:r>
          </w:p>
        </w:tc>
      </w:tr>
    </w:tbl>
    <w:p>
      <w:pPr>
        <w:pStyle w:val="36"/>
        <w:numPr>
          <w:ilvl w:val="0"/>
          <w:numId w:val="0"/>
        </w:numPr>
        <w:ind w:leftChars="0"/>
        <w:rPr>
          <w:rFonts w:hint="default" w:eastAsia="宋体"/>
          <w:b w:val="0"/>
          <w:bCs/>
          <w:lang w:val="en-US" w:eastAsia="zh-CN"/>
        </w:rPr>
      </w:pPr>
      <w:r>
        <w:rPr>
          <w:rFonts w:hint="eastAsia"/>
          <w:b w:val="0"/>
          <w:bCs/>
          <w:sz w:val="22"/>
          <w:szCs w:val="22"/>
          <w:lang w:val="en-US" w:eastAsia="zh-CN"/>
        </w:rPr>
        <w:t xml:space="preserve">where </w:t>
      </w:r>
      <w:r>
        <w:rPr>
          <w:b w:val="0"/>
          <w:bCs/>
        </w:rPr>
        <w:t>Srxlev</w:t>
      </w:r>
      <w:r>
        <w:rPr>
          <w:rFonts w:hint="eastAsia" w:eastAsia="宋体"/>
          <w:b w:val="0"/>
          <w:bCs/>
          <w:lang w:val="en-US" w:eastAsia="zh-CN"/>
        </w:rPr>
        <w:t xml:space="preserve"> is Cell selection RX level value (dB) as defined in TS 38.304 [5]. Currently the criterion doesn</w:t>
      </w:r>
      <w:r>
        <w:rPr>
          <w:rFonts w:hint="default" w:eastAsia="宋体"/>
          <w:b w:val="0"/>
          <w:bCs/>
          <w:lang w:val="en-US" w:eastAsia="zh-CN"/>
        </w:rPr>
        <w:t>’</w:t>
      </w:r>
      <w:r>
        <w:rPr>
          <w:rFonts w:hint="eastAsia" w:eastAsia="宋体"/>
          <w:b w:val="0"/>
          <w:bCs/>
          <w:lang w:val="en-US" w:eastAsia="zh-CN"/>
        </w:rPr>
        <w:t>t involve RSRP/RSRQ.</w:t>
      </w:r>
    </w:p>
    <w:p>
      <w:pPr>
        <w:pStyle w:val="36"/>
        <w:rPr>
          <w:rFonts w:hint="default"/>
          <w:lang w:val="en-US" w:eastAsia="zh-CN"/>
        </w:rPr>
      </w:pPr>
      <w:r>
        <w:rPr>
          <w:rFonts w:hint="eastAsia"/>
          <w:b/>
          <w:bCs w:val="0"/>
          <w:sz w:val="22"/>
          <w:szCs w:val="22"/>
          <w:lang w:val="en-US" w:eastAsia="zh-CN"/>
        </w:rPr>
        <w:t>R17 stationary criterion can be defined as fulfilling R16 low mobility criterion and fulfilling additional RSRP/RSRQ criteria configured by the network.</w:t>
      </w:r>
    </w:p>
    <w:p>
      <w:pPr>
        <w:pStyle w:val="36"/>
        <w:numPr>
          <w:ilvl w:val="0"/>
          <w:numId w:val="0"/>
        </w:numPr>
        <w:ind w:leftChars="0"/>
        <w:rPr>
          <w:rFonts w:hint="default"/>
          <w:b w:val="0"/>
          <w:bCs/>
          <w:sz w:val="22"/>
          <w:szCs w:val="22"/>
          <w:lang w:val="en-US" w:eastAsia="zh-CN"/>
        </w:rPr>
      </w:pPr>
      <w:r>
        <w:rPr>
          <w:rFonts w:hint="eastAsia"/>
          <w:b w:val="0"/>
          <w:bCs/>
          <w:sz w:val="22"/>
          <w:szCs w:val="22"/>
          <w:lang w:val="en-US" w:eastAsia="zh-CN"/>
        </w:rPr>
        <w:t xml:space="preserve">Reduced capability UEs are user devices which have less antenna ports and also support less MIMO layers. Such UEs are anticipated to be of more affordable prices and can be used as sensors, IoT devices and wearables. One of the intention to introduce such devices is to reduce the UE capability in order to prolong the standby time with a small battery. </w:t>
      </w:r>
    </w:p>
    <w:p>
      <w:pPr>
        <w:rPr>
          <w:rFonts w:hint="default"/>
          <w:sz w:val="22"/>
          <w:szCs w:val="22"/>
          <w:lang w:val="en-US" w:eastAsia="zh-CN"/>
        </w:rPr>
      </w:pPr>
      <w:r>
        <w:rPr>
          <w:rFonts w:hint="eastAsia"/>
          <w:sz w:val="22"/>
          <w:szCs w:val="22"/>
          <w:lang w:val="en-US" w:eastAsia="zh-CN"/>
        </w:rPr>
        <w:t xml:space="preserve">As can be imagined, reduced UE capability on the Tx / Rx branches and MIMO layers would have impact on some of the RRM impacts. During the last meeting, the impact for RLM , LR, BWP switch are marked as FFS. </w:t>
      </w:r>
    </w:p>
    <w:p>
      <w:pPr>
        <w:rPr>
          <w:rFonts w:hint="default"/>
          <w:b w:val="0"/>
          <w:bCs/>
          <w:sz w:val="22"/>
          <w:szCs w:val="22"/>
          <w:lang w:val="en-US" w:eastAsia="zh-CN"/>
        </w:rPr>
      </w:pPr>
      <w:r>
        <w:rPr>
          <w:rFonts w:hint="eastAsia"/>
          <w:b w:val="0"/>
          <w:bCs/>
          <w:sz w:val="22"/>
          <w:szCs w:val="22"/>
          <w:lang w:val="en-US" w:eastAsia="zh-CN"/>
        </w:rPr>
        <w:t>In TR 38.875 [2], there is a dedicated chapter for UE complexity reduction. The reduction on UE complexity has many impact on RRM requirements, for instance the number of Rx branches is decreased, the UE processing capability is also decreased, resulting in a longer processing time and so on. Specifically, it is mentioned in the TR that the value of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relaxed: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4"/>
            </w:pPr>
            <w:bookmarkStart w:id="9" w:name="_Toc65758062"/>
            <w:bookmarkStart w:id="10" w:name="_Toc57144801"/>
            <w:bookmarkStart w:id="11" w:name="_Toc56714307"/>
            <w:bookmarkStart w:id="12" w:name="_Toc57126574"/>
            <w:bookmarkStart w:id="13" w:name="_Toc57136451"/>
            <w:bookmarkStart w:id="14" w:name="_Toc57126695"/>
            <w:bookmarkStart w:id="15" w:name="_Toc57127642"/>
            <w:bookmarkStart w:id="16" w:name="_Toc57127751"/>
            <w:r>
              <w:t>7.5.5</w:t>
            </w:r>
            <w:r>
              <w:tab/>
            </w:r>
            <w:r>
              <w:t>Analysis of specification impacts</w:t>
            </w:r>
            <w:bookmarkEnd w:id="9"/>
            <w:bookmarkEnd w:id="10"/>
            <w:bookmarkEnd w:id="11"/>
            <w:bookmarkEnd w:id="12"/>
            <w:bookmarkEnd w:id="13"/>
            <w:bookmarkEnd w:id="14"/>
            <w:bookmarkEnd w:id="15"/>
            <w:bookmarkEnd w:id="16"/>
          </w:p>
          <w:p>
            <w:pPr>
              <w:jc w:val="both"/>
            </w:pPr>
            <w:r>
              <w:t>A new UE processing time capability needs to be defined if relaxed UE processing time in terms of N</w:t>
            </w:r>
            <w:r>
              <w:rPr>
                <w:vertAlign w:val="subscript"/>
              </w:rPr>
              <w:t>1</w:t>
            </w:r>
            <w:r>
              <w:t xml:space="preserve"> and N</w:t>
            </w:r>
            <w:r>
              <w:rPr>
                <w:vertAlign w:val="subscript"/>
              </w:rPr>
              <w:t>2</w:t>
            </w:r>
            <w:r>
              <w:t xml:space="preserve"> is introduced. New values of N</w:t>
            </w:r>
            <w:r>
              <w:rPr>
                <w:vertAlign w:val="subscript"/>
              </w:rPr>
              <w:t>1</w:t>
            </w:r>
            <w:r>
              <w:t xml:space="preserve"> and N</w:t>
            </w:r>
            <w:r>
              <w:rPr>
                <w:vertAlign w:val="subscript"/>
              </w:rPr>
              <w:t>2</w:t>
            </w:r>
            <w:r>
              <w:t>, as well as how the PDSCH processing time and PUSCH preparation time are determined by N</w:t>
            </w:r>
            <w:r>
              <w:rPr>
                <w:vertAlign w:val="subscript"/>
              </w:rPr>
              <w:t>1</w:t>
            </w:r>
            <w:r>
              <w:t xml:space="preserve"> and N</w:t>
            </w:r>
            <w:r>
              <w:rPr>
                <w:vertAlign w:val="subscript"/>
              </w:rPr>
              <w:t>2</w:t>
            </w:r>
            <w:r>
              <w:t>, need to be defined.</w:t>
            </w:r>
          </w:p>
          <w:p>
            <w:pPr>
              <w:jc w:val="both"/>
              <w:rPr>
                <w:rFonts w:hint="default"/>
                <w:b w:val="0"/>
                <w:bCs/>
                <w:sz w:val="22"/>
                <w:szCs w:val="22"/>
                <w:vertAlign w:val="baseline"/>
                <w:lang w:val="en-US" w:eastAsia="zh-CN"/>
              </w:rPr>
            </w:pPr>
            <w:r>
              <w:t>Depending on the degree of relaxation of the N</w:t>
            </w:r>
            <w:r>
              <w:rPr>
                <w:vertAlign w:val="subscript"/>
              </w:rPr>
              <w:t>1</w:t>
            </w:r>
            <w:r>
              <w:t xml:space="preserve"> and N</w:t>
            </w:r>
            <w:r>
              <w:rPr>
                <w:vertAlign w:val="subscript"/>
              </w:rPr>
              <w:t>2</w:t>
            </w:r>
            <w:r>
              <w:t xml:space="preserve"> values, specification details on scheduling timing related to the default TDRA tables and HARQ-ACK timing range may also need to be updated.</w:t>
            </w:r>
          </w:p>
        </w:tc>
      </w:tr>
    </w:tbl>
    <w:p>
      <w:pPr>
        <w:rPr>
          <w:rFonts w:hint="eastAsia"/>
          <w:b w:val="0"/>
          <w:bCs/>
          <w:sz w:val="22"/>
          <w:szCs w:val="22"/>
          <w:lang w:val="en-US" w:eastAsia="zh-CN"/>
        </w:rPr>
      </w:pPr>
      <w:r>
        <w:rPr>
          <w:rFonts w:hint="eastAsia"/>
          <w:b w:val="0"/>
          <w:bCs/>
          <w:sz w:val="22"/>
          <w:szCs w:val="22"/>
          <w:lang w:val="en-US" w:eastAsia="zh-CN"/>
        </w:rPr>
        <w:t>whereas N</w:t>
      </w:r>
      <w:r>
        <w:rPr>
          <w:rFonts w:hint="eastAsia"/>
          <w:b w:val="0"/>
          <w:bCs/>
          <w:sz w:val="22"/>
          <w:szCs w:val="22"/>
          <w:vertAlign w:val="subscript"/>
          <w:lang w:val="en-US" w:eastAsia="zh-CN"/>
        </w:rPr>
        <w:t>1</w:t>
      </w:r>
      <w:r>
        <w:rPr>
          <w:rFonts w:hint="eastAsia"/>
          <w:b w:val="0"/>
          <w:bCs/>
          <w:sz w:val="22"/>
          <w:szCs w:val="22"/>
          <w:lang w:val="en-US" w:eastAsia="zh-CN"/>
        </w:rPr>
        <w:t xml:space="preserve"> and N</w:t>
      </w:r>
      <w:r>
        <w:rPr>
          <w:rFonts w:hint="eastAsia"/>
          <w:b w:val="0"/>
          <w:bCs/>
          <w:sz w:val="22"/>
          <w:szCs w:val="22"/>
          <w:vertAlign w:val="subscript"/>
          <w:lang w:val="en-US" w:eastAsia="zh-CN"/>
        </w:rPr>
        <w:t>2</w:t>
      </w:r>
      <w:r>
        <w:rPr>
          <w:rFonts w:hint="eastAsia"/>
          <w:b w:val="0"/>
          <w:bCs/>
          <w:sz w:val="22"/>
          <w:szCs w:val="22"/>
          <w:lang w:val="en-US" w:eastAsia="zh-CN"/>
        </w:rPr>
        <w:t xml:space="preserve"> are defined in 38.214 [3]: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rPr>
                <w:color w:val="000000"/>
              </w:rPr>
            </w:pPr>
            <w:bookmarkStart w:id="17" w:name="_Toc11352135"/>
            <w:r>
              <w:rPr>
                <w:color w:val="000000"/>
              </w:rPr>
              <w:t>5.3</w:t>
            </w:r>
            <w:r>
              <w:rPr>
                <w:color w:val="000000"/>
              </w:rPr>
              <w:tab/>
            </w:r>
            <w:r>
              <w:rPr>
                <w:color w:val="000000"/>
              </w:rPr>
              <w:t>UE PDSCH processing procedure time</w:t>
            </w:r>
            <w:bookmarkEnd w:id="17"/>
          </w:p>
          <w:p>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18" w:name="_Hlk500865557"/>
            <w:bookmarkStart w:id="19" w:name="_Hlk508187268"/>
            <w:r>
              <w:rPr>
                <w:color w:val="000000"/>
                <w:position w:val="-14"/>
              </w:rPr>
              <w:object>
                <v:shape id="_x0000_i1025" o:spt="75" type="#_x0000_t75" style="height:21.75pt;width:180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bookmarkEnd w:id="18"/>
            <w:bookmarkEnd w:id="19"/>
            <w:r>
              <w:rPr>
                <w:color w:val="000000"/>
              </w:rPr>
              <w:t xml:space="preserve"> after the end of the last symbol of the PDSCH carrying the TB being acknowledged, then the UE shall provide a valid HARQ-ACK message. </w:t>
            </w:r>
          </w:p>
          <w:p>
            <w:pPr>
              <w:rPr>
                <w:rFonts w:hint="eastAsia"/>
                <w:b w:val="0"/>
                <w:bCs/>
                <w:sz w:val="22"/>
                <w:szCs w:val="22"/>
                <w:vertAlign w:val="baseline"/>
                <w:lang w:val="en-US" w:eastAsia="zh-CN"/>
              </w:rPr>
            </w:pPr>
            <w:r>
              <w:rPr>
                <w:i/>
              </w:rPr>
              <w:t>-</w:t>
            </w:r>
            <w:r>
              <w:rPr>
                <w:i/>
              </w:rPr>
              <w:tab/>
            </w:r>
            <w:r>
              <w:rPr>
                <w:i/>
              </w:rPr>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 and </w:t>
            </w:r>
            <w:r>
              <w:rPr>
                <w:i/>
                <w:lang w:val="en-AU"/>
              </w:rPr>
              <w:t>µ</w:t>
            </w:r>
            <w:r>
              <w:rPr>
                <w:i/>
                <w:vertAlign w:val="subscript"/>
                <w:lang w:val="en-AU"/>
              </w:rPr>
              <w:t>UL</w:t>
            </w:r>
            <w:r>
              <w:rPr>
                <w:lang w:val="en-AU"/>
              </w:rPr>
              <w:t xml:space="preserve"> corresponds to the subcarrier spacing of the uplink channel with which the HARQ-ACK is to be transmitted, and κ is defined in subclause 4.1 of [4, TS 38.211].</w:t>
            </w:r>
          </w:p>
        </w:tc>
      </w:tr>
    </w:tbl>
    <w:p>
      <w:pPr>
        <w:rPr>
          <w:rFonts w:hint="default"/>
          <w:b w:val="0"/>
          <w:bCs/>
          <w:sz w:val="22"/>
          <w:szCs w:val="22"/>
          <w:lang w:val="en-US" w:eastAsia="zh-CN"/>
        </w:rPr>
      </w:pPr>
      <w:r>
        <w:rPr>
          <w:rFonts w:hint="eastAsia"/>
          <w:b w:val="0"/>
          <w:bCs/>
          <w:sz w:val="22"/>
          <w:szCs w:val="22"/>
          <w:lang w:val="en-US" w:eastAsia="zh-CN"/>
        </w:rPr>
        <w:t>From the above specifications, it</w:t>
      </w:r>
      <w:r>
        <w:rPr>
          <w:rFonts w:hint="default"/>
          <w:b w:val="0"/>
          <w:bCs/>
          <w:sz w:val="22"/>
          <w:szCs w:val="22"/>
          <w:lang w:val="en-US" w:eastAsia="zh-CN"/>
        </w:rPr>
        <w:t>’</w:t>
      </w:r>
      <w:r>
        <w:rPr>
          <w:rFonts w:hint="eastAsia"/>
          <w:b w:val="0"/>
          <w:bCs/>
          <w:sz w:val="22"/>
          <w:szCs w:val="22"/>
          <w:lang w:val="en-US" w:eastAsia="zh-CN"/>
        </w:rPr>
        <w:t xml:space="preserve">s clear that RRM requirements related to PDSCH processing time, PUSCH preparation time and HARQ-ACK transmission delay will be impacted.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rFonts w:hint="default"/>
                <w:b w:val="0"/>
                <w:bCs/>
                <w:sz w:val="22"/>
                <w:szCs w:val="22"/>
                <w:vertAlign w:val="baseline"/>
                <w:lang w:val="en-US" w:eastAsia="zh-CN"/>
              </w:rPr>
            </w:pPr>
            <w:r>
              <w:t>In the study, for the purpose of evaluation, relaxed CSI computation time was also considered, assuming doubled Z and Z' compared to the values defined in TS 38.214 clause 5.4.</w:t>
            </w:r>
          </w:p>
        </w:tc>
      </w:tr>
    </w:tbl>
    <w:p>
      <w:pPr>
        <w:rPr>
          <w:rFonts w:hint="default"/>
          <w:b w:val="0"/>
          <w:bCs/>
          <w:sz w:val="22"/>
          <w:szCs w:val="22"/>
          <w:lang w:val="en-US" w:eastAsia="zh-CN"/>
        </w:rPr>
      </w:pPr>
      <w:r>
        <w:rPr>
          <w:rFonts w:hint="eastAsia"/>
          <w:b w:val="0"/>
          <w:bCs/>
          <w:sz w:val="22"/>
          <w:szCs w:val="22"/>
          <w:lang w:val="en-US" w:eastAsia="zh-CN"/>
        </w:rPr>
        <w:t>From the above content in the TR, it</w:t>
      </w:r>
      <w:r>
        <w:rPr>
          <w:rFonts w:hint="default"/>
          <w:b w:val="0"/>
          <w:bCs/>
          <w:sz w:val="22"/>
          <w:szCs w:val="22"/>
          <w:lang w:val="en-US" w:eastAsia="zh-CN"/>
        </w:rPr>
        <w:t>’</w:t>
      </w:r>
      <w:r>
        <w:rPr>
          <w:rFonts w:hint="eastAsia"/>
          <w:b w:val="0"/>
          <w:bCs/>
          <w:sz w:val="22"/>
          <w:szCs w:val="22"/>
          <w:lang w:val="en-US" w:eastAsia="zh-CN"/>
        </w:rPr>
        <w:t xml:space="preserve">s proposed that requirements related to CSI report shall also be re-visited. </w:t>
      </w:r>
    </w:p>
    <w:p>
      <w:pPr>
        <w:pStyle w:val="36"/>
        <w:rPr>
          <w:rFonts w:hint="eastAsia"/>
          <w:b/>
          <w:bCs w:val="0"/>
          <w:sz w:val="22"/>
          <w:szCs w:val="22"/>
          <w:lang w:val="en-US" w:eastAsia="zh-CN"/>
        </w:rPr>
      </w:pPr>
      <w:r>
        <w:rPr>
          <w:rFonts w:hint="eastAsia"/>
          <w:b/>
          <w:bCs w:val="0"/>
          <w:sz w:val="22"/>
          <w:szCs w:val="22"/>
          <w:lang w:val="en-US" w:eastAsia="zh-CN"/>
        </w:rPr>
        <w:t>RRM requirements related to PDSCH processing time, PUSCH preparation time, HARQ-ACK transmission delay and CSI reporting shall be modified.</w:t>
      </w:r>
    </w:p>
    <w:p>
      <w:pPr>
        <w:rPr>
          <w:rFonts w:hint="eastAsia"/>
          <w:b w:val="0"/>
          <w:bCs/>
          <w:sz w:val="22"/>
          <w:szCs w:val="22"/>
          <w:lang w:val="en-US" w:eastAsia="zh-CN"/>
        </w:rPr>
      </w:pPr>
      <w:r>
        <w:rPr>
          <w:rFonts w:hint="eastAsia"/>
          <w:b w:val="0"/>
          <w:bCs/>
          <w:sz w:val="22"/>
          <w:szCs w:val="22"/>
          <w:lang w:val="en-US" w:eastAsia="zh-CN"/>
        </w:rPr>
        <w:t>The relaxation of such RRM requirements can consider the method of multiplying a constant parameter to relax the total delay. This method can be used when the delay is proportional to the number of Rx chains.</w:t>
      </w:r>
    </w:p>
    <w:p>
      <w:pPr>
        <w:pStyle w:val="36"/>
        <w:rPr>
          <w:rFonts w:hint="default"/>
          <w:b w:val="0"/>
          <w:bCs/>
          <w:sz w:val="22"/>
          <w:szCs w:val="22"/>
          <w:lang w:val="en-US" w:eastAsia="zh-CN"/>
        </w:rPr>
      </w:pPr>
      <w:r>
        <w:rPr>
          <w:rFonts w:hint="eastAsia"/>
          <w:b/>
          <w:bCs w:val="0"/>
          <w:sz w:val="22"/>
          <w:szCs w:val="22"/>
          <w:lang w:val="en-US" w:eastAsia="zh-CN"/>
        </w:rPr>
        <w:t>When the delay is proportional to the number of Rx chains, relax the delay by multiplying a constant parameter.</w:t>
      </w:r>
    </w:p>
    <w:p>
      <w:pPr>
        <w:rPr>
          <w:rFonts w:hint="eastAsia"/>
          <w:b w:val="0"/>
          <w:bCs/>
          <w:sz w:val="22"/>
          <w:szCs w:val="22"/>
          <w:lang w:val="en-US" w:eastAsia="zh-CN"/>
        </w:rPr>
      </w:pPr>
      <w:r>
        <w:rPr>
          <w:rFonts w:hint="eastAsia"/>
          <w:b w:val="0"/>
          <w:bCs/>
          <w:sz w:val="22"/>
          <w:szCs w:val="22"/>
          <w:lang w:val="en-US" w:eastAsia="zh-CN"/>
        </w:rPr>
        <w:t>When analyzing the impact on specifications, we notice that the reduction on UE capability would also have impact on accuracy. Accuracy requirements shall be studied after core requirements are specified.</w:t>
      </w:r>
    </w:p>
    <w:p>
      <w:pPr>
        <w:pStyle w:val="36"/>
        <w:rPr>
          <w:rFonts w:hint="default"/>
          <w:b w:val="0"/>
          <w:bCs/>
          <w:sz w:val="22"/>
          <w:szCs w:val="22"/>
          <w:lang w:val="en-US" w:eastAsia="zh-CN"/>
        </w:rPr>
      </w:pPr>
      <w:r>
        <w:rPr>
          <w:rFonts w:hint="eastAsia"/>
          <w:b/>
          <w:bCs w:val="0"/>
          <w:sz w:val="22"/>
          <w:szCs w:val="22"/>
          <w:lang w:val="en-US" w:eastAsia="zh-CN"/>
        </w:rPr>
        <w:t>Accuracy requirements shall be studied after core requirements are specified.</w:t>
      </w:r>
    </w:p>
    <w:p>
      <w:pPr>
        <w:rPr>
          <w:rFonts w:hint="default"/>
          <w:b w:val="0"/>
          <w:bCs/>
          <w:sz w:val="22"/>
          <w:szCs w:val="22"/>
          <w:lang w:val="en-US" w:eastAsia="zh-CN"/>
        </w:rPr>
      </w:pPr>
      <w:r>
        <w:rPr>
          <w:rFonts w:hint="eastAsia"/>
          <w:b w:val="0"/>
          <w:bCs/>
          <w:sz w:val="22"/>
          <w:szCs w:val="22"/>
          <w:lang w:val="en-US" w:eastAsia="zh-CN"/>
        </w:rPr>
        <w:t xml:space="preserve">For some RRM requirements such as initial access, the allocated resources for the UE may depend on whether the network identifies the UE type (RedCap or legacy UEs). Thus, for some RRM requirements for instance the random access, there may need to be at least two sets of requirements for RedCap UEs depending on whether early indication of the UR type is supported / successful. </w:t>
      </w:r>
    </w:p>
    <w:p>
      <w:pPr>
        <w:pStyle w:val="36"/>
        <w:rPr>
          <w:rFonts w:hint="default"/>
          <w:b w:val="0"/>
          <w:bCs/>
          <w:sz w:val="22"/>
          <w:szCs w:val="22"/>
          <w:lang w:val="en-US" w:eastAsia="zh-CN"/>
        </w:rPr>
      </w:pPr>
      <w:r>
        <w:rPr>
          <w:rFonts w:hint="eastAsia"/>
          <w:b/>
          <w:bCs w:val="0"/>
          <w:sz w:val="22"/>
          <w:szCs w:val="22"/>
          <w:lang w:val="en-US" w:eastAsia="zh-CN"/>
        </w:rPr>
        <w:t>For some RRM requirements for instance the random access, there may need to be at least two sets of requirements for RedCap UEs depending on whether early indication of the UR type is supported / successful.</w:t>
      </w:r>
    </w:p>
    <w:p>
      <w:pPr>
        <w:rPr>
          <w:rFonts w:hint="default"/>
          <w:b w:val="0"/>
          <w:bCs/>
          <w:sz w:val="22"/>
          <w:szCs w:val="22"/>
          <w:lang w:val="en-US" w:eastAsia="zh-CN"/>
        </w:rPr>
      </w:pPr>
      <w:r>
        <w:rPr>
          <w:rFonts w:hint="eastAsia"/>
          <w:b w:val="0"/>
          <w:bCs/>
          <w:sz w:val="22"/>
          <w:szCs w:val="22"/>
          <w:lang w:val="en-US" w:eastAsia="zh-CN"/>
        </w:rPr>
        <w:t>It was agreed from RAN4 99-e that discussions on RRM measurement relaxation would depend on RAN2 agreement. According to the discussions in RAN2, one of the issues discussed was whether to allow a relaxation on RRC processing time. Nonetheless, RRC processing time is defined in TS 38.331 so we don</w:t>
      </w:r>
      <w:r>
        <w:rPr>
          <w:rFonts w:hint="default"/>
          <w:b w:val="0"/>
          <w:bCs/>
          <w:sz w:val="22"/>
          <w:szCs w:val="22"/>
          <w:lang w:val="en-US" w:eastAsia="zh-CN"/>
        </w:rPr>
        <w:t>’</w:t>
      </w:r>
      <w:r>
        <w:rPr>
          <w:rFonts w:hint="eastAsia"/>
          <w:b w:val="0"/>
          <w:bCs/>
          <w:sz w:val="22"/>
          <w:szCs w:val="22"/>
          <w:lang w:val="en-US" w:eastAsia="zh-CN"/>
        </w:rPr>
        <w:t>t plan to discuss it here in RAN4.</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pStyle w:val="36"/>
        <w:numPr>
          <w:ilvl w:val="0"/>
          <w:numId w:val="0"/>
        </w:numPr>
        <w:ind w:leftChars="0"/>
        <w:rPr>
          <w:rFonts w:hint="default"/>
          <w:lang w:val="en-US" w:eastAsia="zh-CN"/>
        </w:rPr>
      </w:pPr>
      <w:r>
        <w:rPr>
          <w:rFonts w:hint="eastAsia"/>
          <w:b/>
          <w:bCs w:val="0"/>
          <w:sz w:val="22"/>
          <w:szCs w:val="22"/>
          <w:lang w:val="en-US" w:eastAsia="zh-CN"/>
        </w:rPr>
        <w:t>Proposal 1: R17 stationary criterion can be defined as fulfilling R16 low mobility criterion and fulfilling additional RSRP/RSRQ criteria configured by the network.</w:t>
      </w:r>
    </w:p>
    <w:p>
      <w:pPr>
        <w:rPr>
          <w:rFonts w:hint="eastAsia"/>
          <w:b/>
          <w:bCs w:val="0"/>
          <w:sz w:val="22"/>
          <w:szCs w:val="22"/>
          <w:lang w:val="en-US" w:eastAsia="zh-CN"/>
        </w:rPr>
      </w:pPr>
      <w:r>
        <w:rPr>
          <w:rFonts w:hint="eastAsia"/>
          <w:b/>
          <w:bCs w:val="0"/>
          <w:sz w:val="22"/>
          <w:szCs w:val="22"/>
          <w:lang w:val="en-US" w:eastAsia="zh-CN"/>
        </w:rPr>
        <w:t>Proposal 2: RRM requirements related to PDSCH processing time, PUSCH preparation time, HARQ-ACK transmission delay and CSI reporting shall be modified.</w:t>
      </w:r>
    </w:p>
    <w:p>
      <w:pPr>
        <w:rPr>
          <w:rFonts w:hint="eastAsia"/>
          <w:b/>
          <w:bCs w:val="0"/>
          <w:sz w:val="22"/>
          <w:szCs w:val="22"/>
          <w:lang w:val="en-US" w:eastAsia="zh-CN"/>
        </w:rPr>
      </w:pPr>
      <w:r>
        <w:rPr>
          <w:rFonts w:hint="eastAsia"/>
          <w:b/>
          <w:bCs w:val="0"/>
          <w:sz w:val="22"/>
          <w:szCs w:val="22"/>
          <w:lang w:val="en-US" w:eastAsia="zh-CN"/>
        </w:rPr>
        <w:t>Proposal 3: When the delay is proportional to the number of Rx chains, relax the delay by multiplying a constant parameter.</w:t>
      </w:r>
    </w:p>
    <w:p>
      <w:pPr>
        <w:rPr>
          <w:rFonts w:hint="eastAsia"/>
          <w:b/>
          <w:bCs w:val="0"/>
          <w:sz w:val="22"/>
          <w:szCs w:val="22"/>
          <w:lang w:val="en-US" w:eastAsia="zh-CN"/>
        </w:rPr>
      </w:pPr>
      <w:r>
        <w:rPr>
          <w:rFonts w:hint="eastAsia"/>
          <w:b/>
          <w:bCs w:val="0"/>
          <w:sz w:val="22"/>
          <w:szCs w:val="22"/>
          <w:lang w:val="en-US" w:eastAsia="zh-CN"/>
        </w:rPr>
        <w:t>Proposal 4: Accuracy requirements shall be studied after core requirements are specified.</w:t>
      </w:r>
    </w:p>
    <w:p>
      <w:pPr>
        <w:rPr>
          <w:rFonts w:hint="default"/>
          <w:b/>
          <w:bCs w:val="0"/>
          <w:sz w:val="22"/>
          <w:szCs w:val="22"/>
          <w:lang w:val="en-US" w:eastAsia="zh-CN"/>
        </w:rPr>
      </w:pPr>
      <w:r>
        <w:rPr>
          <w:rFonts w:hint="eastAsia"/>
          <w:b/>
          <w:bCs w:val="0"/>
          <w:sz w:val="22"/>
          <w:szCs w:val="22"/>
          <w:lang w:val="en-US" w:eastAsia="zh-CN"/>
        </w:rPr>
        <w:t>Proposal 5: For some RRM requirements for instance the random access, there may need to be at least two sets of requirements for RedCap UEs depending on whether early indication of the UR type is supported / successful.</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R4-2115358</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R2-2109197</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TR 38.875</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38.304</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13173E2"/>
    <w:multiLevelType w:val="multilevel"/>
    <w:tmpl w:val="31317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B70D5C"/>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